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20" w:lineRule="exact"/>
        <w:jc w:val="center"/>
        <w:rPr>
          <w:rFonts w:ascii="黑体" w:hAnsi="黑体" w:eastAsia="黑体" w:cs="黑体"/>
          <w:kern w:val="0"/>
          <w:sz w:val="44"/>
          <w:szCs w:val="44"/>
        </w:rPr>
      </w:pPr>
      <w:r>
        <w:rPr>
          <w:rFonts w:hint="eastAsia" w:ascii="黑体" w:hAnsi="黑体" w:eastAsia="黑体" w:cs="黑体"/>
          <w:kern w:val="0"/>
          <w:sz w:val="44"/>
          <w:szCs w:val="44"/>
        </w:rPr>
        <w:t>广州大学数学学科流动站20</w:t>
      </w:r>
      <w:r>
        <w:rPr>
          <w:rFonts w:ascii="黑体" w:hAnsi="黑体" w:eastAsia="黑体" w:cs="黑体"/>
          <w:kern w:val="0"/>
          <w:sz w:val="44"/>
          <w:szCs w:val="44"/>
        </w:rPr>
        <w:t>2</w:t>
      </w:r>
      <w:r>
        <w:rPr>
          <w:rFonts w:hint="eastAsia" w:ascii="黑体" w:hAnsi="黑体" w:eastAsia="黑体" w:cs="黑体"/>
          <w:kern w:val="0"/>
          <w:sz w:val="44"/>
          <w:szCs w:val="44"/>
          <w:lang w:val="en-US" w:eastAsia="zh-CN"/>
        </w:rPr>
        <w:t>1</w:t>
      </w:r>
      <w:r>
        <w:rPr>
          <w:rFonts w:hint="eastAsia" w:ascii="黑体" w:hAnsi="黑体" w:eastAsia="黑体" w:cs="黑体"/>
          <w:kern w:val="0"/>
          <w:sz w:val="44"/>
          <w:szCs w:val="44"/>
        </w:rPr>
        <w:t>年博士后</w:t>
      </w:r>
    </w:p>
    <w:p>
      <w:pPr>
        <w:spacing w:after="156" w:afterLines="50" w:line="620" w:lineRule="exact"/>
        <w:jc w:val="center"/>
        <w:rPr>
          <w:rFonts w:ascii="黑体" w:hAnsi="黑体" w:eastAsia="黑体" w:cs="黑体"/>
          <w:kern w:val="0"/>
          <w:sz w:val="44"/>
          <w:szCs w:val="44"/>
        </w:rPr>
      </w:pPr>
      <w:r>
        <w:rPr>
          <w:rFonts w:hint="eastAsia" w:ascii="黑体" w:hAnsi="黑体" w:eastAsia="黑体" w:cs="黑体"/>
          <w:kern w:val="0"/>
          <w:sz w:val="44"/>
          <w:szCs w:val="44"/>
        </w:rPr>
        <w:t>招聘简章</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广州大学是广东省高水平大学重点学科建设项目高校、“冲一流”重点学科建设高校、广州市高水平大学建设高校。</w:t>
      </w:r>
      <w:r>
        <w:rPr>
          <w:rFonts w:hint="eastAsia" w:ascii="仿宋_GB2312" w:hAnsi="仿宋_GB2312" w:eastAsia="仿宋_GB2312" w:cs="仿宋_GB2312"/>
          <w:sz w:val="32"/>
          <w:szCs w:val="32"/>
        </w:rPr>
        <w:t>广州大学数学</w:t>
      </w:r>
      <w:r>
        <w:rPr>
          <w:rFonts w:hint="eastAsia" w:ascii="仿宋_GB2312" w:hAnsi="仿宋_GB2312" w:eastAsia="仿宋_GB2312" w:cs="仿宋_GB2312"/>
          <w:color w:val="000000"/>
          <w:kern w:val="0"/>
          <w:sz w:val="32"/>
          <w:szCs w:val="32"/>
        </w:rPr>
        <w:t>学科是广东省“冲一流”重点建设学科和广东省攀峰重点学科，拥有全国首届高校百名教学名师1人、入选国家万人计划1人，国家杰出青年基金获得者3人，国务院学位委员会数学学科评议组成员1人，教育部创新团队带头人1人, 国家优秀青年基金获得者1人，国家级突出贡献中青年专家</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000000"/>
          <w:kern w:val="0"/>
          <w:sz w:val="32"/>
          <w:szCs w:val="32"/>
        </w:rPr>
        <w:t>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广州大</w:t>
      </w:r>
      <w:r>
        <w:rPr>
          <w:rFonts w:hint="eastAsia" w:ascii="仿宋_GB2312" w:hAnsi="仿宋_GB2312" w:eastAsia="仿宋_GB2312" w:cs="仿宋_GB2312"/>
          <w:sz w:val="32"/>
          <w:szCs w:val="32"/>
        </w:rPr>
        <w:t>学数学学科博士后科研流动站以广州大学数学与信息科学学院为牵头单位，参与机构包括应用数学研究中心、计算机科学与网络工程学院、生命科学学院、物理与材料科学学院、机械与电气工程学院、网络空间先进技术研究院、计算科技研究院等校内多个二级学院和研究机构，博士后的专业涵盖数学一级学科所有学科方向，也包括计算机、网络信息安全、生物信息、生物医药等多个交叉学科。</w:t>
      </w:r>
    </w:p>
    <w:p>
      <w:pPr>
        <w:adjustRightInd w:val="0"/>
        <w:snapToGrid w:val="0"/>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shd w:val="clear" w:color="auto" w:fill="FFFFFF"/>
        </w:rPr>
        <w:t>为吸引和凝聚优秀人才，加快“</w:t>
      </w:r>
      <w:r>
        <w:rPr>
          <w:rFonts w:hint="eastAsia" w:ascii="仿宋_GB2312" w:hAnsi="仿宋_GB2312" w:eastAsia="仿宋_GB2312" w:cs="仿宋_GB2312"/>
          <w:sz w:val="32"/>
          <w:szCs w:val="32"/>
        </w:rPr>
        <w:t>冲一流</w:t>
      </w:r>
      <w:r>
        <w:rPr>
          <w:rFonts w:hint="eastAsia" w:ascii="仿宋_GB2312" w:hAnsi="仿宋_GB2312" w:eastAsia="仿宋_GB2312" w:cs="仿宋_GB2312"/>
          <w:sz w:val="32"/>
          <w:szCs w:val="32"/>
          <w:shd w:val="clear" w:color="auto" w:fill="FFFFFF"/>
        </w:rPr>
        <w:t>”学科建设步伐，</w:t>
      </w:r>
      <w:r>
        <w:rPr>
          <w:rFonts w:hint="eastAsia" w:ascii="仿宋_GB2312" w:hAnsi="仿宋_GB2312" w:eastAsia="仿宋_GB2312" w:cs="仿宋_GB2312"/>
          <w:sz w:val="32"/>
          <w:szCs w:val="32"/>
        </w:rPr>
        <w:t>广州大学数学学科流动站</w:t>
      </w:r>
      <w:r>
        <w:rPr>
          <w:rFonts w:hint="eastAsia" w:ascii="仿宋_GB2312" w:hAnsi="仿宋_GB2312" w:eastAsia="仿宋_GB2312" w:cs="仿宋_GB2312"/>
          <w:sz w:val="32"/>
          <w:szCs w:val="32"/>
          <w:shd w:val="clear" w:color="auto" w:fill="FFFFFF"/>
        </w:rPr>
        <w:t>现面向海内外招聘博士后研究人员，竭诚欢迎海内外青年才俊加盟。</w:t>
      </w:r>
    </w:p>
    <w:p>
      <w:pPr>
        <w:pStyle w:val="2"/>
        <w:widowControl/>
        <w:shd w:val="clear" w:color="auto" w:fill="FFFFFF"/>
        <w:spacing w:beforeAutospacing="0" w:afterAutospacing="0" w:line="410" w:lineRule="atLeast"/>
        <w:ind w:firstLine="430"/>
        <w:rPr>
          <w:rFonts w:ascii="黑体" w:hAnsi="宋体" w:eastAsia="黑体" w:cs="黑体"/>
          <w:color w:val="666666"/>
          <w:sz w:val="21"/>
          <w:szCs w:val="21"/>
          <w:shd w:val="clear" w:color="auto" w:fill="FFFFFF"/>
        </w:rPr>
      </w:pPr>
    </w:p>
    <w:p>
      <w:pPr>
        <w:adjustRightInd w:val="0"/>
        <w:snapToGrid w:val="0"/>
        <w:spacing w:line="6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一、招收类型</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师资博士后。聘期2+3年。前2年入站从事博士后研究工作，出站考核优秀的，留校任教，聘全职特聘或百人计划人才。</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计划内博士后。聘期2年。工作期满（有培养协议的除外）实行双向选择、自主择业。</w:t>
      </w:r>
    </w:p>
    <w:p>
      <w:pPr>
        <w:adjustRightInd w:val="0"/>
        <w:snapToGrid w:val="0"/>
        <w:spacing w:line="6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二、招聘条件</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（一）品学兼优，身体健康；</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（二）年龄一般应在 35 周岁以下；</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（三）获博士学位时间一般不超过 3 年或已通过博士学位答辩（应届毕业生）；</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（四）具有较强的科研创新能力和学术发展潜力。</w:t>
      </w:r>
    </w:p>
    <w:p>
      <w:pPr>
        <w:adjustRightInd w:val="0"/>
        <w:snapToGrid w:val="0"/>
        <w:spacing w:line="6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三、在站期间待遇</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 薪酬福利</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年薪+公寓（租房补贴）+工会福利待遇</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根据申请者学术水平、工作计划、创新能力、学术发展潜力等分A、B、C三类。</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1.年薪应发36万元起（含五险一金单位部分），其中A类业绩优秀的44万元起（含五险一金单位部分）。经费来源于国家（省）、市、学校。</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2.可按学校规定租住学校公寓；如未租住学校住房，可享受2.4万元/年的租房补贴。经费来源于学校。</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3.可申请落户我校常住户口、参照事业编制人员享受体检等工会福利待遇。</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（二）科研启动费</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在站期间，可按规定申领广州市博士后科研项目资助20万元。</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（三）项目申报</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学校支持申报国家自然科学基金或社科基金、中国博士后科学基金等各类基金项目，支持申报“博士后创新人才支持计划”“博士后国际交流计划引进项目”“中德博士后交流项目”“香江学者计划”“澳门学者计划”“广东省海外博士后人才支持项目”“广东省青年优秀科研人才国际培养计划博士后项目”和“广州市博士后国际培养计划”等项目。如获入选，将按相关政策提升待遇或发放奖励。</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（四）职称评审</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在站期间可参评职称，认定或评审通过后可取得相应专业技术资格和职称证书。</w:t>
      </w:r>
    </w:p>
    <w:p>
      <w:pPr>
        <w:adjustRightInd w:val="0"/>
        <w:snapToGrid w:val="0"/>
        <w:spacing w:line="6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四、关于出站留校</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师资博士后首个聘期（2年）出站考核优秀的，聘全职特聘讲师/副教授，签订3年聘用合同。出站考核优秀且业绩突出、符合百人计划人才引进条件的，经学校人才引进程序进入事业编制，另行商定聘用合同。出站考核达不到优秀的，按规定出站。</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（二）计划内博士后出站实行双向选择、自主择业，出站考核结果优秀的，可参照师资博士后进入第二个聘期。</w:t>
      </w:r>
    </w:p>
    <w:p>
      <w:pPr>
        <w:adjustRightInd w:val="0"/>
        <w:snapToGrid w:val="0"/>
        <w:spacing w:line="6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五、出站留穗留粤后续资助</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（一）人才待遇</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获得中国博士后科学基金资助、且未满40周岁的出站留穗博士后，可按照相关规定申请认定“广州市青年后备人才”并享受相应服务保障待遇。符合条件的可申请免租入住85平方米的高层次人才公寓或享受住房补贴100万元。</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（二）安家费或住房补贴</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 期满出站后1年内到广州市属企事业单位全职工作、签订3年以上劳动合同（聘用协议），或期满出站后1年内在广州市自主创业且符合其他条件的，按相关规定向市申请安家费30万元（市财政分两期发放）。</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 在世界排名前200名的高校（不含境内）获得博士学位，可申请“广东省海外博士后人才支持项目”、出站后与我省用人单位签订工作协议或劳动合同，并承诺连续在粤工作3年以上的，可按相关规定向省申请住房补贴40万元，但不重复享受广州市安家费待遇。</w:t>
      </w:r>
    </w:p>
    <w:p>
      <w:pPr>
        <w:adjustRightInd w:val="0"/>
        <w:snapToGrid w:val="0"/>
        <w:spacing w:line="62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六、申请方式</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本招聘常年招收，申请人可随时联系我站相关导师提出申请。应届博士生应保证能够在申请当年毕业，如未能按期取得学位证，不保留其录用资格。</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（一）申请</w:t>
      </w:r>
    </w:p>
    <w:p>
      <w:pPr>
        <w:adjustRightInd w:val="0"/>
        <w:snapToGrid w:val="0"/>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申请人先联系合作导师，导师同意招收后，将广州大学博士后申请表等申请材料交至招收单位（导师所在二级单位）审核。进站申请有关程序及材料要求：</w:t>
      </w:r>
      <w:r>
        <w:fldChar w:fldCharType="begin"/>
      </w:r>
      <w:r>
        <w:instrText xml:space="preserve"> HYPERLINK "http://rsc.gzhu.edu.cn/info/1053/2230.htm" </w:instrText>
      </w:r>
      <w:r>
        <w:fldChar w:fldCharType="separate"/>
      </w:r>
      <w:r>
        <w:rPr>
          <w:rFonts w:hint="eastAsia" w:ascii="仿宋_GB2312" w:hAnsi="仿宋_GB2312" w:eastAsia="仿宋_GB2312" w:cs="仿宋_GB2312"/>
          <w:sz w:val="32"/>
          <w:szCs w:val="32"/>
          <w:shd w:val="clear" w:color="auto" w:fill="FFFFFF"/>
        </w:rPr>
        <w:t>http://rsc.gzhu.edu.cn/info/1053/2230.htm</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w:t>
      </w:r>
    </w:p>
    <w:p/>
    <w:p>
      <w:pPr>
        <w:adjustRightInd w:val="0"/>
        <w:snapToGrid w:val="0"/>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（二）审批</w:t>
      </w:r>
    </w:p>
    <w:p>
      <w:pPr>
        <w:adjustRightInd w:val="0"/>
        <w:snapToGrid w:val="0"/>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学校审核通过后，申请人报中国博士后网审批。网址：http://www.chinapostdoctor.org.cn</w:t>
      </w:r>
    </w:p>
    <w:p>
      <w:pPr>
        <w:adjustRightInd w:val="0"/>
        <w:snapToGrid w:val="0"/>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（三）备案</w:t>
      </w:r>
    </w:p>
    <w:p>
      <w:pPr>
        <w:adjustRightInd w:val="0"/>
        <w:snapToGrid w:val="0"/>
        <w:spacing w:line="620" w:lineRule="exact"/>
        <w:ind w:firstLine="640" w:firstLineChars="200"/>
        <w:rPr>
          <w:rFonts w:hint="eastAsia" w:ascii="宋体" w:hAnsi="宋体" w:eastAsia="宋体" w:cs="宋体"/>
          <w:color w:val="000000"/>
          <w:kern w:val="0"/>
          <w:sz w:val="24"/>
          <w:szCs w:val="24"/>
        </w:rPr>
      </w:pPr>
      <w:r>
        <w:rPr>
          <w:rFonts w:hint="eastAsia" w:ascii="仿宋_GB2312" w:hAnsi="仿宋_GB2312" w:eastAsia="仿宋_GB2312" w:cs="仿宋_GB2312"/>
          <w:color w:val="000000"/>
          <w:kern w:val="0"/>
          <w:sz w:val="32"/>
          <w:szCs w:val="32"/>
        </w:rPr>
        <w:t>中国博士后网审批后，申请人报广州市人社局备案。网址：</w:t>
      </w:r>
      <w:r>
        <w:rPr>
          <w:rFonts w:hint="eastAsia" w:ascii="宋体" w:hAnsi="宋体" w:eastAsia="宋体" w:cs="宋体"/>
          <w:color w:val="000000"/>
          <w:kern w:val="0"/>
          <w:sz w:val="24"/>
          <w:szCs w:val="24"/>
        </w:rPr>
        <w:t>http://gzrsj.hrssgz.gov.cn/vsgzhr/PersonalPortal/home.aspx</w:t>
      </w:r>
    </w:p>
    <w:p>
      <w:pPr>
        <w:spacing w:line="6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七、联系方式</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9"/>
        <w:gridCol w:w="2183"/>
        <w:gridCol w:w="3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999" w:type="dxa"/>
            <w:vAlign w:val="center"/>
          </w:tcPr>
          <w:p>
            <w:pPr>
              <w:widowControl/>
              <w:adjustRightInd w:val="0"/>
              <w:snapToGrid w:val="0"/>
              <w:spacing w:line="62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学校博管办</w:t>
            </w:r>
          </w:p>
        </w:tc>
        <w:tc>
          <w:tcPr>
            <w:tcW w:w="2183" w:type="dxa"/>
            <w:vAlign w:val="center"/>
          </w:tcPr>
          <w:p>
            <w:pPr>
              <w:widowControl/>
              <w:adjustRightInd w:val="0"/>
              <w:snapToGrid w:val="0"/>
              <w:spacing w:line="62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林老师</w:t>
            </w:r>
          </w:p>
        </w:tc>
        <w:tc>
          <w:tcPr>
            <w:tcW w:w="3998" w:type="dxa"/>
            <w:vAlign w:val="center"/>
          </w:tcPr>
          <w:p>
            <w:pPr>
              <w:widowControl/>
              <w:adjustRightInd w:val="0"/>
              <w:snapToGrid w:val="0"/>
              <w:spacing w:line="62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（020）39366208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999" w:type="dxa"/>
            <w:vAlign w:val="center"/>
          </w:tcPr>
          <w:p>
            <w:pPr>
              <w:widowControl/>
              <w:adjustRightInd w:val="0"/>
              <w:snapToGrid w:val="0"/>
              <w:spacing w:line="62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数学流动站</w:t>
            </w:r>
          </w:p>
        </w:tc>
        <w:tc>
          <w:tcPr>
            <w:tcW w:w="2183" w:type="dxa"/>
            <w:vAlign w:val="center"/>
          </w:tcPr>
          <w:p>
            <w:pPr>
              <w:widowControl/>
              <w:adjustRightInd w:val="0"/>
              <w:snapToGrid w:val="0"/>
              <w:spacing w:line="62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张老师</w:t>
            </w:r>
          </w:p>
        </w:tc>
        <w:tc>
          <w:tcPr>
            <w:tcW w:w="3998" w:type="dxa"/>
            <w:vAlign w:val="center"/>
          </w:tcPr>
          <w:p>
            <w:pPr>
              <w:widowControl/>
              <w:adjustRightInd w:val="0"/>
              <w:snapToGrid w:val="0"/>
              <w:spacing w:line="62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（020）39366303</w:t>
            </w:r>
          </w:p>
          <w:p>
            <w:pPr>
              <w:widowControl/>
              <w:adjustRightInd w:val="0"/>
              <w:snapToGrid w:val="0"/>
              <w:spacing w:line="62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zhanghong@gzhu.edu.cn</w:t>
            </w:r>
          </w:p>
        </w:tc>
      </w:tr>
    </w:tbl>
    <w:p>
      <w:pPr>
        <w:adjustRightInd w:val="0"/>
        <w:snapToGrid w:val="0"/>
        <w:spacing w:line="6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学校地址：广州市番禺区广州大学城外环西路230号</w:t>
      </w:r>
    </w:p>
    <w:p>
      <w:pPr>
        <w:adjustRightInd w:val="0"/>
        <w:snapToGrid w:val="0"/>
        <w:spacing w:line="620" w:lineRule="exact"/>
        <w:ind w:firstLine="640" w:firstLineChars="200"/>
        <w:rPr>
          <w:rFonts w:ascii="仿宋_GB2312" w:hAnsi="仿宋_GB2312" w:eastAsia="仿宋_GB2312" w:cs="仿宋_GB2312"/>
          <w:color w:val="000000"/>
          <w:kern w:val="0"/>
          <w:sz w:val="32"/>
          <w:szCs w:val="32"/>
        </w:rPr>
      </w:pPr>
    </w:p>
    <w:p>
      <w:pPr>
        <w:widowControl/>
        <w:ind w:firstLine="2240" w:firstLineChars="700"/>
        <w:jc w:val="left"/>
        <w:rPr>
          <w:rFonts w:hint="eastAsia" w:ascii="仿宋_GB2312" w:hAnsi="仿宋_GB2312" w:eastAsia="仿宋_GB2312" w:cs="仿宋_GB2312"/>
          <w:color w:val="000000"/>
          <w:kern w:val="0"/>
          <w:sz w:val="32"/>
          <w:szCs w:val="32"/>
        </w:rPr>
      </w:pPr>
    </w:p>
    <w:p>
      <w:pPr>
        <w:widowControl/>
        <w:ind w:firstLine="2240" w:firstLineChars="700"/>
        <w:jc w:val="left"/>
        <w:rPr>
          <w:rFonts w:hint="eastAsia" w:ascii="仿宋_GB2312" w:hAnsi="仿宋_GB2312" w:eastAsia="仿宋_GB2312" w:cs="仿宋_GB2312"/>
          <w:color w:val="000000"/>
          <w:kern w:val="0"/>
          <w:sz w:val="32"/>
          <w:szCs w:val="32"/>
        </w:rPr>
      </w:pPr>
    </w:p>
    <w:p>
      <w:pPr>
        <w:widowControl/>
        <w:ind w:firstLine="2240" w:firstLineChars="700"/>
        <w:jc w:val="left"/>
        <w:rPr>
          <w:rFonts w:hint="eastAsia" w:ascii="仿宋_GB2312" w:hAnsi="仿宋_GB2312" w:eastAsia="仿宋_GB2312" w:cs="仿宋_GB2312"/>
          <w:color w:val="000000"/>
          <w:kern w:val="0"/>
          <w:sz w:val="32"/>
          <w:szCs w:val="32"/>
        </w:rPr>
      </w:pPr>
    </w:p>
    <w:p>
      <w:pPr>
        <w:widowControl/>
        <w:ind w:firstLine="2240" w:firstLineChars="7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rPr>
        <w:t>广州大学</w:t>
      </w:r>
      <w:r>
        <w:rPr>
          <w:rFonts w:hint="eastAsia" w:ascii="仿宋_GB2312" w:hAnsi="仿宋_GB2312" w:eastAsia="仿宋_GB2312" w:cs="仿宋_GB2312"/>
          <w:color w:val="000000"/>
          <w:kern w:val="0"/>
          <w:sz w:val="32"/>
          <w:szCs w:val="32"/>
          <w:lang w:bidi="ar"/>
        </w:rPr>
        <w:t>数学学科博士后科研流动站</w:t>
      </w:r>
    </w:p>
    <w:p>
      <w:pPr>
        <w:adjustRightInd w:val="0"/>
        <w:snapToGrid w:val="0"/>
        <w:spacing w:line="620" w:lineRule="exac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lang w:eastAsia="zh-CN"/>
        </w:rPr>
        <w:t>附件：</w:t>
      </w:r>
    </w:p>
    <w:p>
      <w:pPr>
        <w:jc w:val="cente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广州大学</w:t>
      </w:r>
      <w:r>
        <w:rPr>
          <w:rFonts w:hint="eastAsia" w:ascii="仿宋_GB2312" w:hAnsi="仿宋_GB2312" w:eastAsia="仿宋_GB2312" w:cs="仿宋_GB2312"/>
          <w:color w:val="auto"/>
          <w:sz w:val="32"/>
          <w:szCs w:val="32"/>
          <w:shd w:val="clear" w:color="auto" w:fill="FFFFFF"/>
          <w:lang w:eastAsia="zh-CN"/>
        </w:rPr>
        <w:t>数学学科</w:t>
      </w:r>
      <w:r>
        <w:rPr>
          <w:rFonts w:hint="eastAsia" w:ascii="仿宋_GB2312" w:hAnsi="仿宋_GB2312" w:eastAsia="仿宋_GB2312" w:cs="仿宋_GB2312"/>
          <w:color w:val="auto"/>
          <w:sz w:val="32"/>
          <w:szCs w:val="32"/>
          <w:shd w:val="clear" w:color="auto" w:fill="FFFFFF"/>
        </w:rPr>
        <w:t>博士后合作导师名册</w:t>
      </w:r>
    </w:p>
    <w:tbl>
      <w:tblPr>
        <w:tblStyle w:val="3"/>
        <w:tblW w:w="8703" w:type="dxa"/>
        <w:tblInd w:w="98" w:type="dxa"/>
        <w:shd w:val="clear" w:color="auto" w:fill="auto"/>
        <w:tblLayout w:type="autofit"/>
        <w:tblCellMar>
          <w:top w:w="0" w:type="dxa"/>
          <w:left w:w="108" w:type="dxa"/>
          <w:bottom w:w="0" w:type="dxa"/>
          <w:right w:w="108" w:type="dxa"/>
        </w:tblCellMar>
      </w:tblPr>
      <w:tblGrid>
        <w:gridCol w:w="1563"/>
        <w:gridCol w:w="3570"/>
        <w:gridCol w:w="3570"/>
      </w:tblGrid>
      <w:tr>
        <w:tblPrEx>
          <w:shd w:val="clear" w:color="auto" w:fill="auto"/>
          <w:tblCellMar>
            <w:top w:w="0" w:type="dxa"/>
            <w:left w:w="108" w:type="dxa"/>
            <w:bottom w:w="0" w:type="dxa"/>
            <w:right w:w="108" w:type="dxa"/>
          </w:tblCellMar>
        </w:tblPrEx>
        <w:trPr>
          <w:trHeight w:val="31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合作导师</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学科方向</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Unicode MS" w:hAnsi="Arial Unicode MS" w:eastAsia="Arial Unicode MS" w:cs="Arial Unicode MS"/>
                <w:b/>
                <w:bCs/>
                <w:i w:val="0"/>
                <w:iCs w:val="0"/>
                <w:color w:val="000000"/>
                <w:sz w:val="21"/>
                <w:szCs w:val="21"/>
                <w:u w:val="none"/>
              </w:rPr>
            </w:pPr>
            <w:r>
              <w:rPr>
                <w:rFonts w:hint="eastAsia" w:ascii="Arial Unicode MS" w:hAnsi="Arial Unicode MS" w:eastAsia="Arial Unicode MS" w:cs="Arial Unicode MS"/>
                <w:b/>
                <w:bCs/>
                <w:i w:val="0"/>
                <w:iCs w:val="0"/>
                <w:color w:val="000000"/>
                <w:kern w:val="0"/>
                <w:sz w:val="21"/>
                <w:szCs w:val="21"/>
                <w:u w:val="none"/>
                <w:lang w:val="en-US" w:eastAsia="zh-CN" w:bidi="ar"/>
              </w:rPr>
              <w:t>E-mail</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白定勇</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常微分方程、生物数学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baidy@gzhu.edu.cn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郑波</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常微分方程及应用，生物数学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zhengbo611@outlook.com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周  展</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常微分方程理论及应用、动力系统</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zzhou@gzhu.edu.cn</w:t>
            </w:r>
          </w:p>
        </w:tc>
      </w:tr>
      <w:tr>
        <w:tblPrEx>
          <w:tblCellMar>
            <w:top w:w="0" w:type="dxa"/>
            <w:left w:w="108" w:type="dxa"/>
            <w:bottom w:w="0" w:type="dxa"/>
            <w:right w:w="108" w:type="dxa"/>
          </w:tblCellMar>
        </w:tblPrEx>
        <w:trPr>
          <w:trHeight w:val="55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郭志明</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常微分方程理论及应用、动力系统、生物数学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guozm@gzhu.edu.cn</w:t>
            </w:r>
          </w:p>
        </w:tc>
      </w:tr>
      <w:tr>
        <w:tblPrEx>
          <w:tblCellMar>
            <w:top w:w="0" w:type="dxa"/>
            <w:left w:w="108" w:type="dxa"/>
            <w:bottom w:w="0" w:type="dxa"/>
            <w:right w:w="108" w:type="dxa"/>
          </w:tblCellMar>
        </w:tblPrEx>
        <w:trPr>
          <w:trHeight w:val="55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庾建设</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常微分方程理论及应用、动力系统、生物数学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jsyu@gzhu.edu.cn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丁明</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代数表示论</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dingming@nankai.edu.cn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王晓峰</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泛函分析</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wangxiaofeng514@hotmail.com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曹广福</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泛函分析、数学教育研究</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guangfucao@163.com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彭济根</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非线性泛函分析、稀疏信息处理</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jgpeng@gzhu.eud.cn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孙春友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非线性泛函分析与无穷维动力系统</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"mailto:sunchy@lzu.edu.cn" \o "mailto:sunchy@lzu.edu.cn"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sunchy@lzu.edu.cn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刘春根</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非线性分析</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liucg@nankai.edu.cn</w:t>
            </w:r>
          </w:p>
        </w:tc>
      </w:tr>
      <w:tr>
        <w:tblPrEx>
          <w:tblCellMar>
            <w:top w:w="0" w:type="dxa"/>
            <w:left w:w="108" w:type="dxa"/>
            <w:bottom w:w="0" w:type="dxa"/>
            <w:right w:w="108" w:type="dxa"/>
          </w:tblCellMar>
        </w:tblPrEx>
        <w:trPr>
          <w:trHeight w:val="55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曹道民</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非线性偏微分方程、非线性泛函分析</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dmcao@amt.ac.cn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尚亚东</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非线性偏微分方程理论及应用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gzydshang@126.com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李进军</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分形几何及其应用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"mailto:lijinjun@gzhu.edu.cn" \o "mailto:lijinjun@gzhu.edu.cn"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lijinjun@gzhu.edu.cn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王友德</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几何分析与偏微分方程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"mailto:wyd@math.ac.cn" \o "mailto:wyd@math.ac.cn"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wyd@math.ac.cn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姜世杰</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精算学、金融数学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actjiang@msn.com</w:t>
            </w:r>
          </w:p>
        </w:tc>
      </w:tr>
      <w:tr>
        <w:tblPrEx>
          <w:tblCellMar>
            <w:top w:w="0" w:type="dxa"/>
            <w:left w:w="108" w:type="dxa"/>
            <w:bottom w:w="0" w:type="dxa"/>
            <w:right w:w="108" w:type="dxa"/>
          </w:tblCellMar>
        </w:tblPrEx>
        <w:trPr>
          <w:trHeight w:val="55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唐春明</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密码学及其应用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ctang@gzhu.edu.cn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蒲学科</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偏微分方程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xuekepu@gzhu.edu.cn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王术</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偏微分方程</w:t>
            </w:r>
            <w:bookmarkStart w:id="0" w:name="_GoBack"/>
            <w:bookmarkEnd w:id="0"/>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"mailto:wangshu@gzhu.edu.cn" \o "mailto:wangshu@gzhu.edu.cn"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wangshu@gzhu.edu.cn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冯永平</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偏微分方程数值解</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fypmath@edu.cn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杨军</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偏微分方程与几何分析</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"mailto:jyang2019@gzhu.edu.cn" \o "mailto:jyang2019@gzhu.edu.cn"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jyang2019@gzhu.edu.cn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廖运章</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数学课程与教学论</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lyzdyx@sina.com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高  平</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随机偏微分方程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mapgao@gzhu.edu.cn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何建勋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调和分析与小波分析</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hejianxun@gzhu.edu.cn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汪火云</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拓扑动力系统</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wanghuoyun@126.com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李海洋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稀疏信息处理</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fplihaiyang@126.com</w:t>
            </w:r>
          </w:p>
        </w:tc>
      </w:tr>
      <w:tr>
        <w:tblPrEx>
          <w:tblCellMar>
            <w:top w:w="0" w:type="dxa"/>
            <w:left w:w="108" w:type="dxa"/>
            <w:bottom w:w="0" w:type="dxa"/>
            <w:right w:w="108" w:type="dxa"/>
          </w:tblCellMar>
        </w:tblPrEx>
        <w:trPr>
          <w:trHeight w:val="570"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唐  屹</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信息安全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ytang@gzhu.edu.cn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彭俊好</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移动终端安全、智能搜索理论</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pengjh@gzhu.edu.cn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钟育彬</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运筹与控制</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zhong_yb@gzhu.edu.cn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李  元</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数理统计与金融统计</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yli57@hotmail.com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陈智华</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工业自动化新型计算</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"mailto:czhgd@gzhu.edu.cn" \o "mailto:czhgd@gzhu.edu.cn"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czhgd@gzhu.edu.cn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方刚</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计算机科学、生物信息学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"mailto:gangf@gzhu.edu.cn" \o "mailto:gangf@gzhu.edu.cn"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gangf@gzhu.edu.cn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刘文斌</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计算机科学与技术</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"mailto:wbliu6910@gzhu.edu.cn" \o "mailto:wbliu6910@gzhu.edu.cn"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wbliu6910@gzhu.edu.cn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强小利</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计算机科学与技术</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"mailto:qiangxl@gzhu.edu.cn" \o "mailto:qiangxl@gzhu.edu.cn"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qiangxl@gzhu.edu.cn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邵泽辉</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计算机科学与技术</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"mailto:zshao@gzhu.edu.cn" \o "mailto:zshao@gzhu.edu.cn"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zshao@gzhu.edu.cn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石晓龙</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计算机科学与技术</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xlshi@gzhu.edu.cn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张景中</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数学机械化、数学教育研究</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rysheng@163.com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寇铮</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新型计算</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"mailto:kouzhengcn@foxmail.com" \o "mailto:kouzhengcn@foxmail.com"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kouzhengcn@foxmail.com</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陈文彬</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cwb2011@gzhu.edu.cn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王捍贫</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"mailto:wanghp@gzhu.edu.cn" \o "mailto:wanghp@gzhu.edu.cn"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wanghp@gzhu.edu.cn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朱恩强</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计算机、组合优化与图论</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"mailto:zhuenqiang@gzhu.edu.cn" \o "mailto:zhuenqiang@gzhu.edu.cn"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zhuenqiang@gzhu.edu.cn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王员根</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计算机科学、人工智能</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wangyg@gzhu.edu.cn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诸葛海</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计算机软件</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zhuge@ict.ac.cn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方美娥</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数学、应用数学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fme@gzhu.edu.cn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陈建二</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算法分析、优化问题的参数算法</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chen@cse.tamu.edu</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王国军</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网络计算、大数据与信息安全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csgjwang@gzhu.edu.cn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高崇志</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信息安全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czgao@gzhu.edu.cn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范立生</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信息与通信工程、移动通信网络</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lsfan@gzhu.edu.cn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李  进</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云计算安全和密码学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Jinli71@gmail.com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高  鹰</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智能优化算法及其应用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falcongao@sina.com.cn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顾钊铨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网络空间安全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"mailto:zqgu@gzhu.edu.cn" \o "mailto:zqgu@gzhu.edu.cn"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zqgu@gzhu.edu.cn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方滨兴</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网络与信息安全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fangbx@cae.cn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田志宏</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网络与信息安全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tianzhihong@gzhu.edu.cn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殷丽华</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网络与信息安全</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yinlh@gzhu.edu.cn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尚文利</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机械电子工程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shangwl@gzhu.edu.cn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王杰</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信号与信息处理</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"mailto:wangjie@gzhu.edu.cn" \o "mailto:wangjie@gzhu.edu.cn"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wangjie@gzhu.edu.cn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陈庆春</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信息与通信工程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qcchen@gzhu.edu.cn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唐冬</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信息与通信工程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"mailto:tangdong@gzhu.edu.cn" \o "mailto:tangdong@gzhu.edu.cn"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tangdong@gzhu.edu.cn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袁学锋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力学/流变力学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"mailto:xuefeng.yuan@gzhu.edu.cn" \o "mailto:xuefeng.yuan@gzhu.edu.cn"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xuefeng.yuan@gzhu.edu.cn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彭凌西</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人工免疫和网络安全技术</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flyingday@139.com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胡晓</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数学/人工智能</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huxiao@gzhu.edu.cn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樊军辉</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计算天体物理</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fjh@gzhu.edu.cn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张艳阳</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数学、凝聚态中的数学物理问题</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yanyang@gzhu.edu.cn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刘军丰</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数学、拓扑电子学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phjfliu@gzhu.edu.cn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张江水</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天体物理</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"mailto:jszhang@gzhu.edu.cn" \o "mailto:jszhang@gzhu.edu.cn"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jszhang@gzhu.edu.cn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陈曦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天文</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chenxi@gzhu.edu.cn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王洪光</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天文</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fldChar w:fldCharType="begin"/>
            </w:r>
            <w:r>
              <w:rPr>
                <w:rFonts w:hint="eastAsia" w:ascii="仿宋_GB2312" w:hAnsi="宋体" w:eastAsia="仿宋_GB2312" w:cs="仿宋_GB2312"/>
                <w:i w:val="0"/>
                <w:iCs w:val="0"/>
                <w:color w:val="000000"/>
                <w:kern w:val="0"/>
                <w:sz w:val="21"/>
                <w:szCs w:val="21"/>
                <w:u w:val="none"/>
                <w:lang w:val="en-US" w:eastAsia="zh-CN" w:bidi="ar"/>
              </w:rPr>
              <w:instrText xml:space="preserve"> HYPERLINK "mailto:hgwang@gzhu.edu.cn" \o "mailto:hgwang@gzhu.edu.cn" </w:instrText>
            </w:r>
            <w:r>
              <w:rPr>
                <w:rFonts w:hint="eastAsia" w:ascii="仿宋_GB2312" w:hAnsi="宋体" w:eastAsia="仿宋_GB2312" w:cs="仿宋_GB2312"/>
                <w:i w:val="0"/>
                <w:iCs w:val="0"/>
                <w:color w:val="000000"/>
                <w:kern w:val="0"/>
                <w:sz w:val="21"/>
                <w:szCs w:val="21"/>
                <w:u w:val="none"/>
                <w:lang w:val="en-US" w:eastAsia="zh-CN" w:bidi="ar"/>
              </w:rPr>
              <w:fldChar w:fldCharType="separate"/>
            </w:r>
            <w:r>
              <w:rPr>
                <w:rFonts w:hint="eastAsia" w:ascii="仿宋_GB2312" w:hAnsi="宋体" w:eastAsia="仿宋_GB2312" w:cs="仿宋_GB2312"/>
                <w:i w:val="0"/>
                <w:iCs w:val="0"/>
                <w:color w:val="000000"/>
                <w:kern w:val="0"/>
                <w:sz w:val="21"/>
                <w:szCs w:val="21"/>
                <w:u w:val="none"/>
                <w:lang w:val="en-US" w:eastAsia="zh-CN" w:bidi="ar"/>
              </w:rPr>
              <w:t>hgwang@gzhu.edu.cn</w:t>
            </w:r>
            <w:r>
              <w:rPr>
                <w:rFonts w:hint="eastAsia" w:ascii="仿宋_GB2312" w:hAnsi="宋体" w:eastAsia="仿宋_GB2312" w:cs="仿宋_GB2312"/>
                <w:i w:val="0"/>
                <w:iCs w:val="0"/>
                <w:color w:val="000000"/>
                <w:kern w:val="0"/>
                <w:sz w:val="21"/>
                <w:szCs w:val="21"/>
                <w:u w:val="none"/>
                <w:lang w:val="en-US" w:eastAsia="zh-CN" w:bidi="ar"/>
              </w:rPr>
              <w:fldChar w:fldCharType="end"/>
            </w:r>
          </w:p>
        </w:tc>
      </w:tr>
      <w:tr>
        <w:tblPrEx>
          <w:tblCellMar>
            <w:top w:w="0" w:type="dxa"/>
            <w:left w:w="108" w:type="dxa"/>
            <w:bottom w:w="0" w:type="dxa"/>
            <w:right w:w="108" w:type="dxa"/>
          </w:tblCellMar>
        </w:tblPrEx>
        <w:trPr>
          <w:trHeight w:val="55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王  锋</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天文技术与方法</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fengwang@gzhu.edu.cn；wangfeng@astrolab.cn</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仝号</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天文学、天体物理</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htong_2005@163.com</w:t>
            </w:r>
          </w:p>
        </w:tc>
      </w:tr>
      <w:tr>
        <w:tblPrEx>
          <w:tblCellMar>
            <w:top w:w="0" w:type="dxa"/>
            <w:left w:w="108" w:type="dxa"/>
            <w:bottom w:w="0" w:type="dxa"/>
            <w:right w:w="108" w:type="dxa"/>
          </w:tblCellMar>
        </w:tblPrEx>
        <w:trPr>
          <w:trHeight w:val="295" w:hRule="atLeast"/>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郭培国</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生物数学、分子生物学</w:t>
            </w:r>
          </w:p>
        </w:tc>
        <w:tc>
          <w:tcPr>
            <w:tcW w:w="3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guopg@gzhu.edu.cn</w:t>
            </w:r>
          </w:p>
        </w:tc>
      </w:tr>
    </w:tbl>
    <w:p>
      <w:pPr>
        <w:rPr>
          <w:rFonts w:hint="eastAsia" w:ascii="仿宋_GB2312" w:hAnsi="仿宋_GB2312" w:eastAsia="仿宋_GB2312" w:cs="仿宋_GB2312"/>
          <w:color w:val="auto"/>
          <w:sz w:val="32"/>
          <w:szCs w:val="32"/>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629F4"/>
    <w:rsid w:val="00455FDF"/>
    <w:rsid w:val="0364098F"/>
    <w:rsid w:val="062465AD"/>
    <w:rsid w:val="0C761EBE"/>
    <w:rsid w:val="11F0695C"/>
    <w:rsid w:val="19634B97"/>
    <w:rsid w:val="2B8A3E05"/>
    <w:rsid w:val="2FB629F4"/>
    <w:rsid w:val="302B2EEC"/>
    <w:rsid w:val="40BD575E"/>
    <w:rsid w:val="40D1624B"/>
    <w:rsid w:val="42B810BC"/>
    <w:rsid w:val="54C70A4B"/>
    <w:rsid w:val="5A7C7F66"/>
    <w:rsid w:val="5CC75774"/>
    <w:rsid w:val="5E0E0FF7"/>
    <w:rsid w:val="5F86245D"/>
    <w:rsid w:val="630D6E09"/>
    <w:rsid w:val="649B490A"/>
    <w:rsid w:val="6A9D3B91"/>
    <w:rsid w:val="71AB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character" w:customStyle="1" w:styleId="7">
    <w:name w:val="font11"/>
    <w:basedOn w:val="4"/>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2021-04-19T01:32:00Z</dcterms:created>
  <dc:creator>未定义</dc:creator>
  <cp:lastModifiedBy>未定义</cp:lastModifiedBy>
  <dcterms:modified xsi:type="dcterms:W3CDTF">2021-06-29T06:39:37Z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0419F174F3BF4E3AA28AF6A7E7068434</vt:lpwstr>
  </property>
</Properties>
</file>